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7E7B33" w:rsidTr="00544A8F">
        <w:tc>
          <w:tcPr>
            <w:tcW w:w="9576" w:type="dxa"/>
            <w:shd w:val="clear" w:color="auto" w:fill="auto"/>
          </w:tcPr>
          <w:p w:rsidR="007E7B33" w:rsidRDefault="007E7B33" w:rsidP="0071051A">
            <w:pPr>
              <w:pStyle w:val="14bldcentr"/>
            </w:pPr>
            <w:r>
              <w:t xml:space="preserve">ADDENDUM </w:t>
            </w:r>
            <w:r w:rsidR="0071051A">
              <w:t>ONE (1)</w:t>
            </w:r>
            <w:r>
              <w:t>, QUESTIONS and ANSWERS</w:t>
            </w:r>
          </w:p>
        </w:tc>
      </w:tr>
    </w:tbl>
    <w:p w:rsidR="000A7F6D" w:rsidRDefault="000A7F6D" w:rsidP="002E0890">
      <w:pPr>
        <w:pStyle w:val="14bldcentr"/>
      </w:pPr>
    </w:p>
    <w:p w:rsidR="007124F4" w:rsidRPr="00BD5697" w:rsidRDefault="007124F4" w:rsidP="002E0890">
      <w:pPr>
        <w:pStyle w:val="Level1Body"/>
      </w:pPr>
    </w:p>
    <w:p w:rsidR="007124F4" w:rsidRPr="00BD5697" w:rsidRDefault="007124F4" w:rsidP="002E0890">
      <w:pPr>
        <w:pStyle w:val="Level1Body"/>
      </w:pPr>
    </w:p>
    <w:p w:rsidR="007124F4" w:rsidRPr="00BD5697" w:rsidRDefault="007124F4" w:rsidP="002E0890">
      <w:pPr>
        <w:pStyle w:val="Level1Body"/>
      </w:pPr>
      <w:r w:rsidRPr="00BD5697">
        <w:t>D</w:t>
      </w:r>
      <w:r w:rsidR="00BD5697" w:rsidRPr="00BD5697">
        <w:t>ate</w:t>
      </w:r>
      <w:r w:rsidRPr="00BD5697">
        <w:t>:</w:t>
      </w:r>
      <w:r w:rsidRPr="00BD5697">
        <w:tab/>
      </w:r>
      <w:r w:rsidRPr="00BD5697">
        <w:tab/>
      </w:r>
      <w:r w:rsidR="003602B2">
        <w:t>December 3, 2018</w:t>
      </w:r>
    </w:p>
    <w:p w:rsidR="007124F4" w:rsidRPr="00BD5697" w:rsidRDefault="007124F4" w:rsidP="002E0890">
      <w:pPr>
        <w:pStyle w:val="Level1Body"/>
      </w:pPr>
    </w:p>
    <w:p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rsidR="007124F4" w:rsidRPr="00BD5697" w:rsidRDefault="007124F4" w:rsidP="002E0890">
      <w:pPr>
        <w:pStyle w:val="Level1Body"/>
      </w:pPr>
    </w:p>
    <w:p w:rsidR="007124F4" w:rsidRPr="00BD5697" w:rsidRDefault="007124F4" w:rsidP="002E0890">
      <w:pPr>
        <w:pStyle w:val="Level1Body"/>
      </w:pPr>
      <w:r w:rsidRPr="00BD5697">
        <w:t>F</w:t>
      </w:r>
      <w:r w:rsidR="00BD5697" w:rsidRPr="00BD5697">
        <w:t>rom</w:t>
      </w:r>
      <w:r w:rsidRPr="00BD5697">
        <w:t>:</w:t>
      </w:r>
      <w:r w:rsidRPr="00BD5697">
        <w:tab/>
      </w:r>
      <w:bookmarkStart w:id="0" w:name="Text4"/>
      <w:r w:rsidR="0025668F">
        <w:tab/>
      </w:r>
      <w:bookmarkEnd w:id="0"/>
      <w:r w:rsidR="0071051A">
        <w:t>Chris Kliment</w:t>
      </w:r>
      <w:r w:rsidRPr="00BD5697">
        <w:t>, Buyer</w:t>
      </w:r>
    </w:p>
    <w:p w:rsidR="007124F4" w:rsidRDefault="0071051A" w:rsidP="002E0890">
      <w:pPr>
        <w:pStyle w:val="Level3Body"/>
      </w:pPr>
      <w:r>
        <w:t>Nebraska Department of Correctional Services</w:t>
      </w:r>
    </w:p>
    <w:p w:rsidR="002E4E3B" w:rsidRDefault="002E4E3B" w:rsidP="002E0890">
      <w:pPr>
        <w:pStyle w:val="Level1Body"/>
      </w:pPr>
    </w:p>
    <w:p w:rsidR="007124F4" w:rsidRDefault="005B1348" w:rsidP="005B1348">
      <w:pPr>
        <w:pStyle w:val="Level1Body"/>
        <w:tabs>
          <w:tab w:val="left" w:pos="90"/>
        </w:tabs>
        <w:ind w:left="1440" w:hanging="1440"/>
      </w:pPr>
      <w:r>
        <w:t>RE:</w:t>
      </w:r>
      <w:r>
        <w:tab/>
      </w:r>
      <w:r w:rsidR="00E4723E" w:rsidRPr="00BD5697">
        <w:t xml:space="preserve">Addendum for </w:t>
      </w:r>
      <w:r w:rsidR="009E2F65">
        <w:t>Request for Proposal</w:t>
      </w:r>
      <w:r w:rsidR="009E2F65">
        <w:rPr>
          <w:color w:val="FF0000"/>
        </w:rPr>
        <w:t xml:space="preserve"> </w:t>
      </w:r>
      <w:r w:rsidR="00AB1852" w:rsidRPr="00BD5697">
        <w:t xml:space="preserve">Number </w:t>
      </w:r>
      <w:r w:rsidR="003602B2">
        <w:t>97867</w:t>
      </w:r>
      <w:r w:rsidR="0071051A">
        <w:t>-O3</w:t>
      </w:r>
      <w:r>
        <w:t xml:space="preserve"> </w:t>
      </w:r>
    </w:p>
    <w:p w:rsidR="006A5040" w:rsidRPr="00BD5697" w:rsidRDefault="006A5040" w:rsidP="006A5040">
      <w:pPr>
        <w:pStyle w:val="Level3Body"/>
      </w:pPr>
      <w:proofErr w:type="gramStart"/>
      <w:r>
        <w:t>to</w:t>
      </w:r>
      <w:proofErr w:type="gramEnd"/>
      <w:r>
        <w:t xml:space="preserve"> be opened </w:t>
      </w:r>
      <w:r w:rsidR="003602B2">
        <w:t>December 14,</w:t>
      </w:r>
      <w:r w:rsidR="0071051A">
        <w:t xml:space="preserve"> 2018,</w:t>
      </w:r>
      <w:r w:rsidR="000A7F6D">
        <w:t xml:space="preserve"> </w:t>
      </w:r>
      <w:r>
        <w:t>at 2:00 p.m. Central Time</w:t>
      </w:r>
    </w:p>
    <w:p w:rsidR="007124F4" w:rsidRPr="00BD5697" w:rsidRDefault="007124F4" w:rsidP="006A5040">
      <w:pPr>
        <w:pStyle w:val="Level3Body"/>
      </w:pPr>
    </w:p>
    <w:p w:rsidR="007124F4" w:rsidRPr="00BD5697" w:rsidRDefault="00784809" w:rsidP="002E4E3B">
      <w:pPr>
        <w:pStyle w:val="Level1Body"/>
      </w:pPr>
      <w:r>
        <w:rPr>
          <w:noProof/>
        </w:rPr>
        <mc:AlternateContent>
          <mc:Choice Requires="wps">
            <w:drawing>
              <wp:anchor distT="0" distB="0" distL="114300" distR="114300" simplePos="0" relativeHeight="251657728" behindDoc="0" locked="1" layoutInCell="1" allowOverlap="1">
                <wp:simplePos x="0" y="0"/>
                <wp:positionH relativeFrom="page">
                  <wp:align>center</wp:align>
                </wp:positionH>
                <wp:positionV relativeFrom="paragraph">
                  <wp:posOffset>0</wp:posOffset>
                </wp:positionV>
                <wp:extent cx="6858000" cy="9398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E81F5" id="Rectangle 2" o:spid="_x0000_s1026" style="position:absolute;margin-left:0;margin-top:0;width:540pt;height: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HvfSkR1AgAA9wQAAA4AAAAAAAAAAAAA&#10;AAAALgIAAGRycy9lMm9Eb2MueG1sUEsBAi0AFAAGAAgAAAAhALY1N6nYAAAABQEAAA8AAAAAAAAA&#10;AAAAAAAAzwQAAGRycy9kb3ducmV2LnhtbFBLBQYAAAAABAAEAPMAAADUBQAAAAA=&#10;" fillcolor="black" stroked="f" strokeweight="0">
                <w10:wrap anchorx="page"/>
                <w10:anchorlock/>
              </v:rect>
            </w:pict>
          </mc:Fallback>
        </mc:AlternateContent>
      </w:r>
    </w:p>
    <w:p w:rsidR="007124F4" w:rsidRPr="00BD5697" w:rsidRDefault="007124F4" w:rsidP="002E4E3B">
      <w:pPr>
        <w:pStyle w:val="Level1Body"/>
        <w:sectPr w:rsidR="007124F4" w:rsidRPr="00BD5697" w:rsidSect="00544A8F">
          <w:footerReference w:type="default" r:id="rId8"/>
          <w:footerReference w:type="first" r:id="rId9"/>
          <w:endnotePr>
            <w:numFmt w:val="decimal"/>
          </w:endnotePr>
          <w:pgSz w:w="12240" w:h="15840"/>
          <w:pgMar w:top="1440" w:right="1440" w:bottom="1440" w:left="1440" w:header="1440" w:footer="288" w:gutter="0"/>
          <w:cols w:space="720"/>
          <w:noEndnote/>
          <w:titlePg/>
        </w:sectPr>
      </w:pPr>
    </w:p>
    <w:p w:rsidR="00FC03CF" w:rsidRPr="00BD5697" w:rsidRDefault="00EE3A98" w:rsidP="002E0890">
      <w:pPr>
        <w:pStyle w:val="Heading4"/>
      </w:pPr>
      <w:r>
        <w:t>Questions and Answers</w:t>
      </w:r>
    </w:p>
    <w:p w:rsidR="00FC03CF" w:rsidRPr="00BD5697" w:rsidRDefault="00FC03CF" w:rsidP="002E0890">
      <w:pPr>
        <w:pStyle w:val="Level1Body"/>
      </w:pPr>
    </w:p>
    <w:p w:rsidR="00EE3A98" w:rsidRDefault="00EE3A98" w:rsidP="00EE3A98">
      <w:pPr>
        <w:pStyle w:val="Level1Body"/>
      </w:pPr>
      <w:r w:rsidRPr="00F053F3">
        <w:t xml:space="preserve">Following are the questions submitted and answers provided for the above mentioned </w:t>
      </w:r>
      <w:r w:rsidR="009E2F65">
        <w:t>Request for Proposal</w:t>
      </w:r>
      <w:r w:rsidRPr="00F053F3">
        <w:t xml:space="preserve">. The questions and answers are to be considered as part of the </w:t>
      </w:r>
      <w:r w:rsidR="009E2F65">
        <w:t>Request for Proposal.</w:t>
      </w:r>
      <w:r w:rsidR="005B1348" w:rsidRPr="00BD5697">
        <w:t xml:space="preserve"> </w:t>
      </w:r>
      <w:r>
        <w:t xml:space="preserve"> It is the Bidder’s responsibility to check the S</w:t>
      </w:r>
      <w:r w:rsidR="005B1348">
        <w:t xml:space="preserve">tate </w:t>
      </w:r>
      <w:r>
        <w:t>P</w:t>
      </w:r>
      <w:r w:rsidR="005B1348">
        <w:t xml:space="preserve">urchasing </w:t>
      </w:r>
      <w:r>
        <w:t>B</w:t>
      </w:r>
      <w:r w:rsidR="005B1348">
        <w:t>ureau</w:t>
      </w:r>
      <w:r>
        <w:t xml:space="preserve"> website for all addenda or amendments.</w:t>
      </w:r>
    </w:p>
    <w:p w:rsidR="00EE3A98" w:rsidRPr="00F053F3" w:rsidRDefault="00EE3A98" w:rsidP="00EE3A98">
      <w:pPr>
        <w:pStyle w:val="Level1Body"/>
      </w:pPr>
    </w:p>
    <w:p w:rsidR="00EE3A98" w:rsidRPr="00BD5697" w:rsidRDefault="00EE3A98" w:rsidP="00EE3A98">
      <w:pPr>
        <w:pStyle w:val="Level1Body"/>
      </w:pPr>
    </w:p>
    <w:p w:rsidR="00EE3A98" w:rsidRPr="00BD5697" w:rsidRDefault="00EE3A98" w:rsidP="00EE3A98">
      <w:pPr>
        <w:pStyle w:val="Level1Body"/>
        <w:sectPr w:rsidR="00EE3A98" w:rsidRPr="00BD5697" w:rsidSect="00544A8F">
          <w:footerReference w:type="default" r:id="rId10"/>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tbl>
      <w:tblPr>
        <w:tblStyle w:val="TableGrid"/>
        <w:tblW w:w="10800" w:type="dxa"/>
        <w:tblInd w:w="-275" w:type="dxa"/>
        <w:tblLayout w:type="fixed"/>
        <w:tblLook w:val="04A0" w:firstRow="1" w:lastRow="0" w:firstColumn="1" w:lastColumn="0" w:noHBand="0" w:noVBand="1"/>
      </w:tblPr>
      <w:tblGrid>
        <w:gridCol w:w="990"/>
        <w:gridCol w:w="1710"/>
        <w:gridCol w:w="900"/>
        <w:gridCol w:w="2610"/>
        <w:gridCol w:w="4590"/>
      </w:tblGrid>
      <w:tr w:rsidR="00FE1278" w:rsidTr="00E03472">
        <w:tc>
          <w:tcPr>
            <w:tcW w:w="99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 Number</w:t>
            </w:r>
          </w:p>
        </w:tc>
        <w:tc>
          <w:tcPr>
            <w:tcW w:w="1710" w:type="dxa"/>
            <w:shd w:val="clear" w:color="auto" w:fill="E6E6E6" w:themeFill="background1" w:themeFillShade="E6"/>
          </w:tcPr>
          <w:p w:rsidR="009E2F65" w:rsidRPr="0043603E" w:rsidRDefault="009E2F65" w:rsidP="00495BF8">
            <w:pPr>
              <w:pStyle w:val="Level1Body"/>
              <w:jc w:val="center"/>
              <w:rPr>
                <w:sz w:val="18"/>
                <w:szCs w:val="18"/>
                <w:u w:val="single"/>
              </w:rPr>
            </w:pPr>
            <w:r>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Section</w:t>
            </w:r>
          </w:p>
          <w:p w:rsidR="009E2F65" w:rsidRPr="0043603E" w:rsidRDefault="009E2F65" w:rsidP="00495BF8">
            <w:pPr>
              <w:pStyle w:val="Level1Body"/>
              <w:jc w:val="center"/>
              <w:rPr>
                <w:sz w:val="18"/>
                <w:szCs w:val="18"/>
                <w:u w:val="single"/>
              </w:rPr>
            </w:pPr>
            <w:r w:rsidRPr="0043603E">
              <w:rPr>
                <w:sz w:val="18"/>
                <w:szCs w:val="18"/>
                <w:u w:val="single"/>
              </w:rPr>
              <w:t>Reference</w:t>
            </w:r>
          </w:p>
        </w:tc>
        <w:tc>
          <w:tcPr>
            <w:tcW w:w="90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RFP</w:t>
            </w:r>
          </w:p>
          <w:p w:rsidR="009E2F65" w:rsidRPr="0043603E" w:rsidRDefault="009E2F65" w:rsidP="00495BF8">
            <w:pPr>
              <w:pStyle w:val="Level1Body"/>
              <w:jc w:val="center"/>
              <w:rPr>
                <w:sz w:val="18"/>
                <w:szCs w:val="18"/>
                <w:u w:val="single"/>
              </w:rPr>
            </w:pPr>
            <w:r w:rsidRPr="0043603E">
              <w:rPr>
                <w:sz w:val="18"/>
                <w:szCs w:val="18"/>
                <w:u w:val="single"/>
              </w:rPr>
              <w:t>Page Number</w:t>
            </w:r>
          </w:p>
        </w:tc>
        <w:tc>
          <w:tcPr>
            <w:tcW w:w="261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Question</w:t>
            </w:r>
          </w:p>
        </w:tc>
        <w:tc>
          <w:tcPr>
            <w:tcW w:w="4590" w:type="dxa"/>
            <w:shd w:val="clear" w:color="auto" w:fill="E6E6E6" w:themeFill="background1" w:themeFillShade="E6"/>
          </w:tcPr>
          <w:p w:rsidR="009E2F65" w:rsidRPr="0043603E" w:rsidRDefault="009E2F65" w:rsidP="00495BF8">
            <w:pPr>
              <w:pStyle w:val="Level1Body"/>
              <w:jc w:val="center"/>
              <w:rPr>
                <w:sz w:val="18"/>
                <w:szCs w:val="18"/>
                <w:u w:val="single"/>
              </w:rPr>
            </w:pPr>
            <w:r w:rsidRPr="0043603E">
              <w:rPr>
                <w:sz w:val="18"/>
                <w:szCs w:val="18"/>
                <w:u w:val="single"/>
              </w:rPr>
              <w:t>State Response</w:t>
            </w:r>
          </w:p>
        </w:tc>
      </w:tr>
      <w:tr w:rsidR="00226E61" w:rsidTr="00E03472">
        <w:tc>
          <w:tcPr>
            <w:tcW w:w="990" w:type="dxa"/>
          </w:tcPr>
          <w:p w:rsidR="009E2F65" w:rsidRDefault="009E2F65" w:rsidP="00495BF8">
            <w:pPr>
              <w:pStyle w:val="Level1Body"/>
            </w:pPr>
            <w:r>
              <w:t>1.</w:t>
            </w:r>
          </w:p>
        </w:tc>
        <w:tc>
          <w:tcPr>
            <w:tcW w:w="1710" w:type="dxa"/>
          </w:tcPr>
          <w:p w:rsidR="009E2F65" w:rsidRDefault="009E2F65" w:rsidP="00495BF8">
            <w:pPr>
              <w:pStyle w:val="Level1Body"/>
            </w:pPr>
          </w:p>
        </w:tc>
        <w:tc>
          <w:tcPr>
            <w:tcW w:w="900" w:type="dxa"/>
          </w:tcPr>
          <w:p w:rsidR="009E2F65" w:rsidRDefault="003602B2" w:rsidP="00495BF8">
            <w:pPr>
              <w:pStyle w:val="Level1Body"/>
            </w:pPr>
            <w:r>
              <w:t>n/a</w:t>
            </w:r>
          </w:p>
        </w:tc>
        <w:tc>
          <w:tcPr>
            <w:tcW w:w="2610" w:type="dxa"/>
          </w:tcPr>
          <w:p w:rsidR="009E2F65" w:rsidRDefault="003602B2" w:rsidP="0071051A">
            <w:pPr>
              <w:pStyle w:val="Level1Body"/>
              <w:jc w:val="left"/>
            </w:pPr>
            <w:r>
              <w:t>Will a working document of the RFP be made available online?</w:t>
            </w:r>
          </w:p>
        </w:tc>
        <w:tc>
          <w:tcPr>
            <w:tcW w:w="4590" w:type="dxa"/>
          </w:tcPr>
          <w:p w:rsidR="009E2F65" w:rsidRPr="00CC613B" w:rsidRDefault="000031CE" w:rsidP="00495BF8">
            <w:pPr>
              <w:pStyle w:val="Level1Body"/>
              <w:rPr>
                <w:rStyle w:val="Hyperlink"/>
                <w:rFonts w:cs="Arial"/>
                <w:color w:val="auto"/>
                <w:szCs w:val="22"/>
                <w:u w:val="none"/>
              </w:rPr>
            </w:pPr>
            <w:hyperlink r:id="rId11" w:history="1">
              <w:r w:rsidR="005E0903" w:rsidRPr="00CC613B">
                <w:rPr>
                  <w:rStyle w:val="Hyperlink"/>
                  <w:rFonts w:cs="Arial"/>
                  <w:color w:val="auto"/>
                  <w:szCs w:val="22"/>
                  <w:u w:val="none"/>
                </w:rPr>
                <w:t>Use</w:t>
              </w:r>
            </w:hyperlink>
            <w:r w:rsidR="005E0903" w:rsidRPr="00CC613B">
              <w:rPr>
                <w:rStyle w:val="Hyperlink"/>
                <w:rFonts w:cs="Arial"/>
                <w:color w:val="auto"/>
                <w:szCs w:val="22"/>
                <w:u w:val="none"/>
              </w:rPr>
              <w:t xml:space="preserve"> the link below to access the publicly posted </w:t>
            </w:r>
            <w:r w:rsidR="00FD2FD4" w:rsidRPr="00CC613B">
              <w:rPr>
                <w:rStyle w:val="Hyperlink"/>
                <w:rFonts w:cs="Arial"/>
                <w:color w:val="auto"/>
                <w:szCs w:val="22"/>
                <w:u w:val="none"/>
              </w:rPr>
              <w:t xml:space="preserve">97867 O3 </w:t>
            </w:r>
            <w:r w:rsidR="005E0903" w:rsidRPr="00CC613B">
              <w:rPr>
                <w:rStyle w:val="Hyperlink"/>
                <w:rFonts w:cs="Arial"/>
                <w:color w:val="auto"/>
                <w:szCs w:val="22"/>
                <w:u w:val="none"/>
              </w:rPr>
              <w:t xml:space="preserve">RFP document, which is available for download in both Word and PDF format. </w:t>
            </w:r>
          </w:p>
          <w:p w:rsidR="005E0903" w:rsidRPr="005E0903" w:rsidRDefault="005E0903" w:rsidP="00495BF8">
            <w:pPr>
              <w:pStyle w:val="Level1Body"/>
              <w:rPr>
                <w:rStyle w:val="Hyperlink"/>
                <w:rFonts w:cs="Arial"/>
                <w:sz w:val="20"/>
                <w:u w:val="none"/>
              </w:rPr>
            </w:pPr>
          </w:p>
          <w:p w:rsidR="003602B2" w:rsidRDefault="000031CE" w:rsidP="00495BF8">
            <w:pPr>
              <w:pStyle w:val="Level1Body"/>
              <w:rPr>
                <w:rStyle w:val="Hyperlink"/>
                <w:rFonts w:cs="Arial"/>
                <w:szCs w:val="22"/>
                <w:u w:val="none"/>
              </w:rPr>
            </w:pPr>
            <w:hyperlink r:id="rId12" w:history="1">
              <w:r w:rsidR="005E0903" w:rsidRPr="004F5C66">
                <w:rPr>
                  <w:rStyle w:val="Hyperlink"/>
                  <w:rFonts w:cs="Arial"/>
                  <w:szCs w:val="22"/>
                </w:rPr>
                <w:t>http://das.nebraska.g</w:t>
              </w:r>
              <w:bookmarkStart w:id="1" w:name="_GoBack"/>
              <w:bookmarkEnd w:id="1"/>
              <w:r w:rsidR="005E0903" w:rsidRPr="004F5C66">
                <w:rPr>
                  <w:rStyle w:val="Hyperlink"/>
                  <w:rFonts w:cs="Arial"/>
                  <w:szCs w:val="22"/>
                </w:rPr>
                <w:t>o</w:t>
              </w:r>
              <w:r w:rsidR="005E0903" w:rsidRPr="004F5C66">
                <w:rPr>
                  <w:rStyle w:val="Hyperlink"/>
                  <w:rFonts w:cs="Arial"/>
                  <w:szCs w:val="22"/>
                </w:rPr>
                <w:t>v/materiel/purchasing/RFP%2097867-O3/97867%20O3.html</w:t>
              </w:r>
            </w:hyperlink>
          </w:p>
          <w:p w:rsidR="005E0903" w:rsidRPr="00A875DD" w:rsidRDefault="005E0903" w:rsidP="00495BF8">
            <w:pPr>
              <w:pStyle w:val="Level1Body"/>
              <w:rPr>
                <w:rStyle w:val="Hyperlink"/>
                <w:rFonts w:cs="Arial"/>
                <w:szCs w:val="22"/>
                <w:u w:val="none"/>
              </w:rPr>
            </w:pPr>
          </w:p>
          <w:p w:rsidR="003602B2" w:rsidRPr="00A875DD" w:rsidRDefault="003602B2" w:rsidP="00FD2FD4">
            <w:pPr>
              <w:pStyle w:val="Level1Body"/>
              <w:rPr>
                <w:szCs w:val="22"/>
              </w:rPr>
            </w:pPr>
          </w:p>
        </w:tc>
      </w:tr>
      <w:tr w:rsidR="00226E61" w:rsidTr="00E03472">
        <w:tc>
          <w:tcPr>
            <w:tcW w:w="990" w:type="dxa"/>
          </w:tcPr>
          <w:p w:rsidR="009E2F65" w:rsidRDefault="009E2F65" w:rsidP="00495BF8">
            <w:pPr>
              <w:pStyle w:val="Level1Body"/>
            </w:pPr>
            <w:r>
              <w:t>2.</w:t>
            </w:r>
          </w:p>
        </w:tc>
        <w:tc>
          <w:tcPr>
            <w:tcW w:w="1710" w:type="dxa"/>
          </w:tcPr>
          <w:p w:rsidR="009E2F65" w:rsidRDefault="00226E61" w:rsidP="00495BF8">
            <w:pPr>
              <w:pStyle w:val="Level1Body"/>
            </w:pPr>
            <w:r>
              <w:t>III. Contractor Duties – A. Independent Contractor/Obligations</w:t>
            </w:r>
          </w:p>
        </w:tc>
        <w:tc>
          <w:tcPr>
            <w:tcW w:w="900" w:type="dxa"/>
          </w:tcPr>
          <w:p w:rsidR="009E2F65" w:rsidRDefault="00FE1278" w:rsidP="00495BF8">
            <w:pPr>
              <w:pStyle w:val="Level1Body"/>
            </w:pPr>
            <w:r>
              <w:t>Pg. 15</w:t>
            </w:r>
          </w:p>
        </w:tc>
        <w:tc>
          <w:tcPr>
            <w:tcW w:w="2610" w:type="dxa"/>
          </w:tcPr>
          <w:p w:rsidR="009E2F65" w:rsidRDefault="003602B2" w:rsidP="0071051A">
            <w:pPr>
              <w:pStyle w:val="Level1Body"/>
              <w:jc w:val="left"/>
            </w:pPr>
            <w:r>
              <w:t>Does the Contractor have to get approval from the State</w:t>
            </w:r>
            <w:r w:rsidR="00FE1278">
              <w:t xml:space="preserve"> prior to making personnel changes (hiring and/or terminating) or does the Contractor need to notify the State if/when personnel changes occur?</w:t>
            </w:r>
          </w:p>
        </w:tc>
        <w:tc>
          <w:tcPr>
            <w:tcW w:w="4590" w:type="dxa"/>
          </w:tcPr>
          <w:p w:rsidR="009E2F65" w:rsidRPr="00A875DD" w:rsidRDefault="005E0903" w:rsidP="00CC613B">
            <w:pPr>
              <w:pStyle w:val="Level1Body"/>
            </w:pPr>
            <w:r>
              <w:t xml:space="preserve">The Contractor does not have to receive approval from the State for personnel changes. </w:t>
            </w:r>
          </w:p>
        </w:tc>
      </w:tr>
      <w:tr w:rsidR="00226E61" w:rsidTr="00E03472">
        <w:tc>
          <w:tcPr>
            <w:tcW w:w="990" w:type="dxa"/>
          </w:tcPr>
          <w:p w:rsidR="009E2F65" w:rsidRDefault="009E2F65" w:rsidP="00495BF8">
            <w:pPr>
              <w:pStyle w:val="Level1Body"/>
            </w:pPr>
            <w:r>
              <w:t>3.</w:t>
            </w:r>
          </w:p>
        </w:tc>
        <w:tc>
          <w:tcPr>
            <w:tcW w:w="1710" w:type="dxa"/>
          </w:tcPr>
          <w:p w:rsidR="009E2F65" w:rsidRDefault="00226E61" w:rsidP="00495BF8">
            <w:pPr>
              <w:pStyle w:val="Level1Body"/>
            </w:pPr>
            <w:r>
              <w:t xml:space="preserve">V. Project Description and Scope of Work – D. </w:t>
            </w:r>
            <w:r>
              <w:lastRenderedPageBreak/>
              <w:t>Bidder Requirements</w:t>
            </w:r>
          </w:p>
        </w:tc>
        <w:tc>
          <w:tcPr>
            <w:tcW w:w="900" w:type="dxa"/>
          </w:tcPr>
          <w:p w:rsidR="009E2F65" w:rsidRDefault="00FE1278" w:rsidP="00495BF8">
            <w:pPr>
              <w:pStyle w:val="Level1Body"/>
            </w:pPr>
            <w:r>
              <w:lastRenderedPageBreak/>
              <w:t>Pg. 28</w:t>
            </w:r>
          </w:p>
        </w:tc>
        <w:tc>
          <w:tcPr>
            <w:tcW w:w="2610" w:type="dxa"/>
          </w:tcPr>
          <w:p w:rsidR="009E2F65" w:rsidRPr="00FE1278" w:rsidRDefault="00FE1278" w:rsidP="0071051A">
            <w:pPr>
              <w:pStyle w:val="Level1Body"/>
              <w:jc w:val="left"/>
            </w:pPr>
            <w:r>
              <w:t xml:space="preserve">If the program facility is physically located in one particular region (i.e. Hastings); but offers </w:t>
            </w:r>
            <w:r>
              <w:lastRenderedPageBreak/>
              <w:t xml:space="preserve">services to individuals throughout the state, should multiple locations be selected under </w:t>
            </w:r>
            <w:r w:rsidRPr="00FE1278">
              <w:rPr>
                <w:i/>
              </w:rPr>
              <w:t>B. Bidder Requirements/Pg. 28</w:t>
            </w:r>
            <w:r>
              <w:rPr>
                <w:i/>
              </w:rPr>
              <w:t xml:space="preserve"> </w:t>
            </w:r>
            <w:r>
              <w:t>or is a physical program facility required in each regional location selected?</w:t>
            </w:r>
          </w:p>
        </w:tc>
        <w:tc>
          <w:tcPr>
            <w:tcW w:w="4590" w:type="dxa"/>
          </w:tcPr>
          <w:p w:rsidR="009E2F65" w:rsidRDefault="00A875DD" w:rsidP="00E03472">
            <w:pPr>
              <w:pStyle w:val="Level1Body"/>
            </w:pPr>
            <w:r>
              <w:lastRenderedPageBreak/>
              <w:t>Yes</w:t>
            </w:r>
            <w:r w:rsidR="00CC613B">
              <w:t>, multiple</w:t>
            </w:r>
            <w:r>
              <w:t xml:space="preserve"> locations </w:t>
            </w:r>
            <w:proofErr w:type="gramStart"/>
            <w:r w:rsidR="00E03472">
              <w:t xml:space="preserve">may </w:t>
            </w:r>
            <w:r>
              <w:t>be submitted</w:t>
            </w:r>
            <w:proofErr w:type="gramEnd"/>
            <w:r w:rsidR="00CC613B">
              <w:t xml:space="preserve">. </w:t>
            </w:r>
            <w:r>
              <w:t xml:space="preserve"> </w:t>
            </w:r>
            <w:r w:rsidR="00CC613B">
              <w:t>P</w:t>
            </w:r>
            <w:r>
              <w:t xml:space="preserve">lease refer to </w:t>
            </w:r>
            <w:r w:rsidR="00E03472">
              <w:t>p</w:t>
            </w:r>
            <w:r>
              <w:t>age</w:t>
            </w:r>
            <w:r w:rsidR="00E03472">
              <w:t>s</w:t>
            </w:r>
            <w:r>
              <w:t xml:space="preserve"> 35-37 for Cost Proposal</w:t>
            </w:r>
            <w:r w:rsidR="00CC613B">
              <w:t xml:space="preserve">. </w:t>
            </w:r>
            <w:r w:rsidR="00CC613B" w:rsidRPr="00E03472">
              <w:t xml:space="preserve">For the provision of programming, </w:t>
            </w:r>
            <w:r w:rsidR="00CC613B" w:rsidRPr="00E03472">
              <w:lastRenderedPageBreak/>
              <w:t>a physical program facility is not required in each regional location selected.</w:t>
            </w:r>
            <w:r w:rsidR="00CC613B">
              <w:t xml:space="preserve"> </w:t>
            </w:r>
          </w:p>
        </w:tc>
      </w:tr>
      <w:tr w:rsidR="00226E61" w:rsidTr="00E03472">
        <w:tc>
          <w:tcPr>
            <w:tcW w:w="990" w:type="dxa"/>
          </w:tcPr>
          <w:p w:rsidR="009E2F65" w:rsidRDefault="009E2F65" w:rsidP="00495BF8">
            <w:pPr>
              <w:pStyle w:val="Level1Body"/>
            </w:pPr>
            <w:r>
              <w:lastRenderedPageBreak/>
              <w:t>4.</w:t>
            </w:r>
          </w:p>
        </w:tc>
        <w:tc>
          <w:tcPr>
            <w:tcW w:w="1710" w:type="dxa"/>
          </w:tcPr>
          <w:p w:rsidR="009E2F65" w:rsidRDefault="00226E61" w:rsidP="00495BF8">
            <w:pPr>
              <w:pStyle w:val="Level1Body"/>
            </w:pPr>
            <w:r>
              <w:t xml:space="preserve">VI. Proposal Instructions 2.Corporate Overview – </w:t>
            </w:r>
            <w:proofErr w:type="spellStart"/>
            <w:r>
              <w:t>i</w:t>
            </w:r>
            <w:proofErr w:type="spellEnd"/>
            <w:r>
              <w:t>. Summary of Bidder’s  Proposed Personnel/Management Approach</w:t>
            </w:r>
          </w:p>
        </w:tc>
        <w:tc>
          <w:tcPr>
            <w:tcW w:w="900" w:type="dxa"/>
          </w:tcPr>
          <w:p w:rsidR="009E2F65" w:rsidRDefault="00FE1278" w:rsidP="00495BF8">
            <w:pPr>
              <w:pStyle w:val="Level1Body"/>
            </w:pPr>
            <w:r>
              <w:t>Pg. 32</w:t>
            </w:r>
          </w:p>
        </w:tc>
        <w:tc>
          <w:tcPr>
            <w:tcW w:w="2610" w:type="dxa"/>
          </w:tcPr>
          <w:p w:rsidR="009E2F65" w:rsidRDefault="00FE1278" w:rsidP="0071051A">
            <w:pPr>
              <w:pStyle w:val="Level1Body"/>
              <w:jc w:val="left"/>
            </w:pPr>
            <w:r>
              <w:t>Do all staff who work for the company, both full-time and part-time, need to provide resumes with references or just key personnel (Administration, Clinical)?</w:t>
            </w:r>
          </w:p>
        </w:tc>
        <w:tc>
          <w:tcPr>
            <w:tcW w:w="4590" w:type="dxa"/>
          </w:tcPr>
          <w:p w:rsidR="009E2F65" w:rsidRDefault="00FD2FD4" w:rsidP="00FD2FD4">
            <w:pPr>
              <w:pStyle w:val="Level1Body"/>
            </w:pPr>
            <w:r>
              <w:t>Only the resumes for key p</w:t>
            </w:r>
            <w:r w:rsidR="00A875DD">
              <w:t>ersonnel</w:t>
            </w:r>
            <w:r>
              <w:t xml:space="preserve"> as described are necessary. </w:t>
            </w:r>
          </w:p>
        </w:tc>
      </w:tr>
      <w:tr w:rsidR="00226E61" w:rsidTr="00E03472">
        <w:tc>
          <w:tcPr>
            <w:tcW w:w="990" w:type="dxa"/>
          </w:tcPr>
          <w:p w:rsidR="009E2F65" w:rsidRDefault="009E2F65" w:rsidP="00495BF8">
            <w:pPr>
              <w:pStyle w:val="Level1Body"/>
            </w:pPr>
            <w:r>
              <w:t>5.</w:t>
            </w:r>
          </w:p>
        </w:tc>
        <w:tc>
          <w:tcPr>
            <w:tcW w:w="1710" w:type="dxa"/>
          </w:tcPr>
          <w:p w:rsidR="009E2F65" w:rsidRDefault="00226E61" w:rsidP="00495BF8">
            <w:pPr>
              <w:pStyle w:val="Level1Body"/>
            </w:pPr>
            <w:r>
              <w:t>VI. Proposal Instructions – 3. Technical Approach</w:t>
            </w:r>
          </w:p>
        </w:tc>
        <w:tc>
          <w:tcPr>
            <w:tcW w:w="900" w:type="dxa"/>
          </w:tcPr>
          <w:p w:rsidR="009E2F65" w:rsidRDefault="00FE1278" w:rsidP="00495BF8">
            <w:pPr>
              <w:pStyle w:val="Level1Body"/>
            </w:pPr>
            <w:r>
              <w:t>Pg. 32</w:t>
            </w:r>
          </w:p>
        </w:tc>
        <w:tc>
          <w:tcPr>
            <w:tcW w:w="2610" w:type="dxa"/>
          </w:tcPr>
          <w:p w:rsidR="009E2F65" w:rsidRDefault="00FE1278" w:rsidP="0071051A">
            <w:pPr>
              <w:pStyle w:val="Level1Body"/>
              <w:jc w:val="left"/>
            </w:pPr>
            <w:r>
              <w:t>Can clarification and definition be provided about what is expected within each sub category (a. – e.) in the Technical Approach</w:t>
            </w:r>
          </w:p>
          <w:p w:rsidR="00FE1278" w:rsidRDefault="00FE1278" w:rsidP="0071051A">
            <w:pPr>
              <w:pStyle w:val="Level1Body"/>
              <w:jc w:val="left"/>
            </w:pPr>
          </w:p>
          <w:p w:rsidR="00FE1278" w:rsidRDefault="00FE1278" w:rsidP="0071051A">
            <w:pPr>
              <w:pStyle w:val="Level1Body"/>
              <w:jc w:val="left"/>
            </w:pPr>
            <w:r>
              <w:t>Will a proposal compliance matrix for submission (for formatting purpose) be made available?</w:t>
            </w:r>
          </w:p>
        </w:tc>
        <w:tc>
          <w:tcPr>
            <w:tcW w:w="4590" w:type="dxa"/>
          </w:tcPr>
          <w:p w:rsidR="009E2F65" w:rsidRDefault="00CC613B" w:rsidP="00CC613B">
            <w:pPr>
              <w:pStyle w:val="Level1Body"/>
            </w:pPr>
            <w:r>
              <w:t>Please f</w:t>
            </w:r>
            <w:r w:rsidR="00A875DD">
              <w:t xml:space="preserve">ollow the structure of </w:t>
            </w:r>
            <w:r>
              <w:t xml:space="preserve">the RFP </w:t>
            </w:r>
            <w:r w:rsidR="00A875DD">
              <w:t>document</w:t>
            </w:r>
            <w:r>
              <w:t xml:space="preserve"> for proposal preparation.  </w:t>
            </w:r>
            <w:r w:rsidR="00A875DD">
              <w:t xml:space="preserve"> </w:t>
            </w:r>
            <w:r>
              <w:t>See p</w:t>
            </w:r>
            <w:r w:rsidR="00A875DD">
              <w:t>age</w:t>
            </w:r>
            <w:r>
              <w:t>s</w:t>
            </w:r>
            <w:r w:rsidR="00A875DD">
              <w:t xml:space="preserve"> 30-32</w:t>
            </w:r>
            <w:r>
              <w:t xml:space="preserve"> for description of information to include in the proposal response. </w:t>
            </w:r>
            <w:r w:rsidR="00A875DD">
              <w:t xml:space="preserve"> </w:t>
            </w:r>
          </w:p>
        </w:tc>
      </w:tr>
      <w:tr w:rsidR="00226E61" w:rsidTr="00E03472">
        <w:tc>
          <w:tcPr>
            <w:tcW w:w="990" w:type="dxa"/>
          </w:tcPr>
          <w:p w:rsidR="0071051A" w:rsidRDefault="0071051A" w:rsidP="00495BF8">
            <w:pPr>
              <w:pStyle w:val="Level1Body"/>
            </w:pPr>
            <w:r>
              <w:t>6.</w:t>
            </w:r>
          </w:p>
        </w:tc>
        <w:tc>
          <w:tcPr>
            <w:tcW w:w="1710" w:type="dxa"/>
          </w:tcPr>
          <w:p w:rsidR="0071051A" w:rsidRDefault="0071051A" w:rsidP="00495BF8">
            <w:pPr>
              <w:pStyle w:val="Level1Body"/>
            </w:pPr>
          </w:p>
        </w:tc>
        <w:tc>
          <w:tcPr>
            <w:tcW w:w="900" w:type="dxa"/>
          </w:tcPr>
          <w:p w:rsidR="0071051A" w:rsidRDefault="0071051A" w:rsidP="00495BF8">
            <w:pPr>
              <w:pStyle w:val="Level1Body"/>
            </w:pPr>
          </w:p>
        </w:tc>
        <w:tc>
          <w:tcPr>
            <w:tcW w:w="2610" w:type="dxa"/>
          </w:tcPr>
          <w:p w:rsidR="0071051A" w:rsidRDefault="00FE1278" w:rsidP="0071051A">
            <w:pPr>
              <w:pStyle w:val="Level1Body"/>
            </w:pPr>
            <w:r>
              <w:t>I do have two different programs one is The 1212 House and the other is Programming Life 101.  Both of the programs do receive State voucher money at the present time.  Is this a continuance of these vouchers or is this some other type of voucher?</w:t>
            </w:r>
          </w:p>
        </w:tc>
        <w:tc>
          <w:tcPr>
            <w:tcW w:w="4590" w:type="dxa"/>
          </w:tcPr>
          <w:p w:rsidR="0071051A" w:rsidRDefault="00436AED" w:rsidP="00CC613B">
            <w:pPr>
              <w:pStyle w:val="Level1Body"/>
            </w:pPr>
            <w:r>
              <w:t>In order to continue</w:t>
            </w:r>
            <w:r w:rsidR="00CC613B">
              <w:t xml:space="preserve"> providing these</w:t>
            </w:r>
            <w:r>
              <w:t xml:space="preserve"> types of services</w:t>
            </w:r>
            <w:r w:rsidR="00CC613B">
              <w:t>, the providing</w:t>
            </w:r>
            <w:r>
              <w:t xml:space="preserve"> entity must submit a response to this RFP. </w:t>
            </w:r>
          </w:p>
        </w:tc>
      </w:tr>
    </w:tbl>
    <w:p w:rsidR="00A44C9E" w:rsidRPr="00BD5697" w:rsidRDefault="00A44C9E" w:rsidP="002E4E3B">
      <w:pPr>
        <w:pStyle w:val="Level1Body"/>
      </w:pPr>
    </w:p>
    <w:p w:rsidR="00FC03CF" w:rsidRPr="00BD5697" w:rsidRDefault="00FC03CF" w:rsidP="002E4E3B">
      <w:pPr>
        <w:pStyle w:val="Level1Body"/>
      </w:pPr>
    </w:p>
    <w:p w:rsidR="00FC03CF" w:rsidRDefault="00FC03CF" w:rsidP="002E4E3B">
      <w:pPr>
        <w:pStyle w:val="Level1Body"/>
      </w:pPr>
      <w:r w:rsidRPr="00BD5697">
        <w:t xml:space="preserve">This addendum will become part of the </w:t>
      </w:r>
      <w:r w:rsidR="009E2F65">
        <w:t>proposal</w:t>
      </w:r>
      <w:r w:rsidR="00703BE8">
        <w:rPr>
          <w:color w:val="FF0000"/>
        </w:rPr>
        <w:t xml:space="preserve"> </w:t>
      </w:r>
      <w:r w:rsidRPr="00BD5697">
        <w:t xml:space="preserve">and </w:t>
      </w:r>
      <w:bookmarkStart w:id="2" w:name="a8"/>
      <w:r w:rsidRPr="00BD5697">
        <w:t>should</w:t>
      </w:r>
      <w:bookmarkEnd w:id="2"/>
      <w:r w:rsidRPr="00BD5697">
        <w:t xml:space="preserve"> be </w:t>
      </w:r>
      <w:bookmarkStart w:id="3" w:name="a9"/>
      <w:r w:rsidRPr="00BD5697">
        <w:t>acknowledged</w:t>
      </w:r>
      <w:bookmarkEnd w:id="3"/>
      <w:r w:rsidRPr="00BD5697">
        <w:t xml:space="preserve"> with the</w:t>
      </w:r>
      <w:r w:rsidR="00DA7CD3" w:rsidRPr="00BD5697">
        <w:t xml:space="preserve"> </w:t>
      </w:r>
      <w:r w:rsidR="009E2F65">
        <w:t>Request for Proposal.</w:t>
      </w:r>
    </w:p>
    <w:p w:rsidR="007124F4" w:rsidRPr="00BD5697" w:rsidRDefault="007124F4" w:rsidP="002E4E3B">
      <w:pPr>
        <w:pStyle w:val="Level1Body"/>
        <w:sectPr w:rsidR="007124F4" w:rsidRPr="00BD5697" w:rsidSect="00544A8F">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rsidR="007124F4" w:rsidRDefault="007124F4" w:rsidP="00FE0CB5"/>
    <w:p w:rsidR="00D478E0" w:rsidRDefault="00D478E0" w:rsidP="00FE0CB5"/>
    <w:p w:rsidR="00D478E0" w:rsidRDefault="00D478E0" w:rsidP="00FE0CB5"/>
    <w:sectPr w:rsidR="00D478E0" w:rsidSect="00544A8F">
      <w:footerReference w:type="default" r:id="rId13"/>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CE" w:rsidRDefault="000031CE">
      <w:r>
        <w:separator/>
      </w:r>
    </w:p>
  </w:endnote>
  <w:endnote w:type="continuationSeparator" w:id="0">
    <w:p w:rsidR="000031CE" w:rsidRDefault="0000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98" w:rsidRDefault="00EE3A9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E03472">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CE" w:rsidRDefault="000031CE">
      <w:r>
        <w:separator/>
      </w:r>
    </w:p>
  </w:footnote>
  <w:footnote w:type="continuationSeparator" w:id="0">
    <w:p w:rsidR="000031CE" w:rsidRDefault="0000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D4368C"/>
    <w:multiLevelType w:val="multilevel"/>
    <w:tmpl w:val="E3D0440C"/>
    <w:numStyleLink w:val="SchedofEvents-Numbered"/>
  </w:abstractNum>
  <w:abstractNum w:abstractNumId="32"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3"/>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2"/>
  </w:num>
  <w:num w:numId="15">
    <w:abstractNumId w:val="10"/>
  </w:num>
  <w:num w:numId="16">
    <w:abstractNumId w:val="27"/>
  </w:num>
  <w:num w:numId="17">
    <w:abstractNumId w:val="25"/>
  </w:num>
  <w:num w:numId="18">
    <w:abstractNumId w:val="14"/>
  </w:num>
  <w:num w:numId="19">
    <w:abstractNumId w:val="15"/>
  </w:num>
  <w:num w:numId="20">
    <w:abstractNumId w:val="31"/>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031CE"/>
    <w:rsid w:val="000133FE"/>
    <w:rsid w:val="00053790"/>
    <w:rsid w:val="000A0B7C"/>
    <w:rsid w:val="000A7F6D"/>
    <w:rsid w:val="000C4C56"/>
    <w:rsid w:val="00156FB7"/>
    <w:rsid w:val="00184504"/>
    <w:rsid w:val="001B7621"/>
    <w:rsid w:val="001E284C"/>
    <w:rsid w:val="00226E61"/>
    <w:rsid w:val="00241153"/>
    <w:rsid w:val="0025668F"/>
    <w:rsid w:val="00256886"/>
    <w:rsid w:val="0027091D"/>
    <w:rsid w:val="0027121E"/>
    <w:rsid w:val="00293406"/>
    <w:rsid w:val="002E0890"/>
    <w:rsid w:val="002E4E3B"/>
    <w:rsid w:val="002F5695"/>
    <w:rsid w:val="003602B2"/>
    <w:rsid w:val="00374BE2"/>
    <w:rsid w:val="003C0E74"/>
    <w:rsid w:val="003E78B5"/>
    <w:rsid w:val="003F21C7"/>
    <w:rsid w:val="003F65D8"/>
    <w:rsid w:val="00433F6F"/>
    <w:rsid w:val="00436AED"/>
    <w:rsid w:val="00446D8B"/>
    <w:rsid w:val="004F4925"/>
    <w:rsid w:val="004F6BBB"/>
    <w:rsid w:val="00544A8F"/>
    <w:rsid w:val="00547BB3"/>
    <w:rsid w:val="0058191C"/>
    <w:rsid w:val="005B1348"/>
    <w:rsid w:val="005D1FF3"/>
    <w:rsid w:val="005E0903"/>
    <w:rsid w:val="00603A1B"/>
    <w:rsid w:val="006A5040"/>
    <w:rsid w:val="006D6DD0"/>
    <w:rsid w:val="00703BE8"/>
    <w:rsid w:val="0071051A"/>
    <w:rsid w:val="007124F4"/>
    <w:rsid w:val="00712CE8"/>
    <w:rsid w:val="007237A1"/>
    <w:rsid w:val="00731D0A"/>
    <w:rsid w:val="00736F52"/>
    <w:rsid w:val="00744C0B"/>
    <w:rsid w:val="00754004"/>
    <w:rsid w:val="00773BDE"/>
    <w:rsid w:val="00784809"/>
    <w:rsid w:val="007C187D"/>
    <w:rsid w:val="007E7B33"/>
    <w:rsid w:val="00805D51"/>
    <w:rsid w:val="0086338A"/>
    <w:rsid w:val="00867A2B"/>
    <w:rsid w:val="00882107"/>
    <w:rsid w:val="008A04EF"/>
    <w:rsid w:val="008C7D8B"/>
    <w:rsid w:val="009C0EF1"/>
    <w:rsid w:val="009E2F65"/>
    <w:rsid w:val="009F49D3"/>
    <w:rsid w:val="00A26B73"/>
    <w:rsid w:val="00A35D07"/>
    <w:rsid w:val="00A44C9E"/>
    <w:rsid w:val="00A50158"/>
    <w:rsid w:val="00A8383E"/>
    <w:rsid w:val="00A875DD"/>
    <w:rsid w:val="00AB1852"/>
    <w:rsid w:val="00B061E4"/>
    <w:rsid w:val="00B22523"/>
    <w:rsid w:val="00B4087F"/>
    <w:rsid w:val="00BB47C8"/>
    <w:rsid w:val="00BD5697"/>
    <w:rsid w:val="00C247EF"/>
    <w:rsid w:val="00C2543C"/>
    <w:rsid w:val="00C26189"/>
    <w:rsid w:val="00C2659A"/>
    <w:rsid w:val="00C30F82"/>
    <w:rsid w:val="00CC613B"/>
    <w:rsid w:val="00D007C2"/>
    <w:rsid w:val="00D129CE"/>
    <w:rsid w:val="00D478E0"/>
    <w:rsid w:val="00D77958"/>
    <w:rsid w:val="00D802BD"/>
    <w:rsid w:val="00DA7CD3"/>
    <w:rsid w:val="00DB23F7"/>
    <w:rsid w:val="00DB68B3"/>
    <w:rsid w:val="00DD2DBC"/>
    <w:rsid w:val="00DD41C2"/>
    <w:rsid w:val="00E03472"/>
    <w:rsid w:val="00E44DAD"/>
    <w:rsid w:val="00E4723E"/>
    <w:rsid w:val="00E47C7F"/>
    <w:rsid w:val="00E51B65"/>
    <w:rsid w:val="00E80044"/>
    <w:rsid w:val="00EC52C4"/>
    <w:rsid w:val="00EE3A98"/>
    <w:rsid w:val="00F71FF5"/>
    <w:rsid w:val="00F91450"/>
    <w:rsid w:val="00FC03CF"/>
    <w:rsid w:val="00FD2FD4"/>
    <w:rsid w:val="00FE0CB5"/>
    <w:rsid w:val="00FE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170CD"/>
  <w15:docId w15:val="{4B540152-FF9C-4517-9604-646E9E5B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styleId="Hyperlink">
    <w:name w:val="Hyperlink"/>
    <w:unhideWhenUsed/>
    <w:rsid w:val="003602B2"/>
    <w:rPr>
      <w:color w:val="0000FF"/>
      <w:u w:val="single"/>
    </w:rPr>
  </w:style>
  <w:style w:type="character" w:styleId="FollowedHyperlink">
    <w:name w:val="FollowedHyperlink"/>
    <w:basedOn w:val="DefaultParagraphFont"/>
    <w:semiHidden/>
    <w:unhideWhenUsed/>
    <w:rsid w:val="005E0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nebraska.gov/materiel/purchasing/RFP%2097867-O3/97867%20O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e_bureau/vendor/agency-rf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D987-C7EC-4DD8-9481-A4C07336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Severin, Kate</cp:lastModifiedBy>
  <cp:revision>6</cp:revision>
  <cp:lastPrinted>2011-03-18T16:09:00Z</cp:lastPrinted>
  <dcterms:created xsi:type="dcterms:W3CDTF">2018-11-29T20:12:00Z</dcterms:created>
  <dcterms:modified xsi:type="dcterms:W3CDTF">2018-12-03T16:59:00Z</dcterms:modified>
</cp:coreProperties>
</file>